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Arimo" w:cs="Arimo" w:eastAsia="Arimo" w:hAnsi="Arimo"/>
          <w:b w:val="1"/>
          <w:sz w:val="30"/>
          <w:szCs w:val="30"/>
        </w:rPr>
      </w:pPr>
      <w:r w:rsidDel="00000000" w:rsidR="00000000" w:rsidRPr="00000000">
        <w:rPr>
          <w:rFonts w:ascii="Arimo" w:cs="Arimo" w:eastAsia="Arimo" w:hAnsi="Arimo"/>
          <w:b w:val="1"/>
          <w:sz w:val="30"/>
          <w:szCs w:val="30"/>
          <w:rtl w:val="0"/>
        </w:rPr>
        <w:t xml:space="preserve">Sanskrit Rupakam – An Applied Perspective </w:t>
      </w:r>
    </w:p>
    <w:p w:rsidR="00000000" w:rsidDel="00000000" w:rsidP="00000000" w:rsidRDefault="00000000" w:rsidRPr="00000000" w14:paraId="00000003">
      <w:pPr>
        <w:jc w:val="center"/>
        <w:rPr>
          <w:rFonts w:ascii="Arimo" w:cs="Arimo" w:eastAsia="Arimo" w:hAnsi="Arimo"/>
          <w:b w:val="1"/>
          <w:sz w:val="26"/>
          <w:szCs w:val="26"/>
        </w:rPr>
      </w:pPr>
      <w:r w:rsidDel="00000000" w:rsidR="00000000" w:rsidRPr="00000000">
        <w:rPr>
          <w:rFonts w:ascii="Arimo" w:cs="Arimo" w:eastAsia="Arimo" w:hAnsi="Arimo"/>
          <w:b w:val="1"/>
          <w:sz w:val="26"/>
          <w:szCs w:val="26"/>
          <w:rtl w:val="0"/>
        </w:rPr>
        <w:t xml:space="preserve">Programme(s) in which it is offered: MA Sanskrit</w:t>
      </w:r>
    </w:p>
    <w:p w:rsidR="00000000" w:rsidDel="00000000" w:rsidP="00000000" w:rsidRDefault="00000000" w:rsidRPr="00000000" w14:paraId="00000004">
      <w:pPr>
        <w:jc w:val="center"/>
        <w:rPr>
          <w:rFonts w:ascii="Arimo" w:cs="Arimo" w:eastAsia="Arimo" w:hAnsi="Arim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14"/>
        <w:gridCol w:w="4862"/>
        <w:tblGridChange w:id="0">
          <w:tblGrid>
            <w:gridCol w:w="4914"/>
            <w:gridCol w:w="486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Course Category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: Core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Schedule of Offering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: Even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Course Credit Structure: 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Course 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SKT6212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Total Number of Hours: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Contact Hours Per Week: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Lecture: 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Tutorial: 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Practical: 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Medium of Instruction: Sanskrit and English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Date of Revision: May 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Skill Focus: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 Skill Development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Short Name of the Course: SRAP</w:t>
            </w:r>
          </w:p>
          <w:p w:rsidR="00000000" w:rsidDel="00000000" w:rsidP="00000000" w:rsidRDefault="00000000" w:rsidRPr="00000000" w14:paraId="00000012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Course Stream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1"/>
                <w:sz w:val="18"/>
                <w:szCs w:val="18"/>
                <w:rtl w:val="0"/>
              </w:rPr>
              <w:t xml:space="preserve">(Only for Minor Courses)</w:t>
            </w: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Grading Method: 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Pass/Fail, 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Repeatable: 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0"/>
                <w:szCs w:val="20"/>
                <w:rtl w:val="0"/>
              </w:rPr>
              <w:t xml:space="preserve">Course Level: Intermediate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mo" w:cs="Arimo" w:eastAsia="Arimo" w:hAnsi="Arim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Course Description</w:t>
      </w:r>
    </w:p>
    <w:p w:rsidR="00000000" w:rsidDel="00000000" w:rsidP="00000000" w:rsidRDefault="00000000" w:rsidRPr="00000000" w14:paraId="0000001A">
      <w:pPr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jc w:val="both"/>
        <w:rPr>
          <w:rFonts w:ascii="Arimo" w:cs="Arimo" w:eastAsia="Arimo" w:hAnsi="Arimo"/>
          <w:b w:val="1"/>
        </w:rPr>
      </w:pP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This is a core course offered to the students of MA Sanskrit.  Working knowledge </w:t>
      </w:r>
      <w:r w:rsidDel="00000000" w:rsidR="00000000" w:rsidRPr="00000000">
        <w:rPr>
          <w:rFonts w:ascii="Arimo" w:cs="Arimo" w:eastAsia="Arimo" w:hAnsi="Arimo"/>
          <w:rtl w:val="0"/>
        </w:rPr>
        <w:t xml:space="preserve">of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 Sanskrit and interest </w:t>
      </w:r>
      <w:r w:rsidDel="00000000" w:rsidR="00000000" w:rsidRPr="00000000">
        <w:rPr>
          <w:rFonts w:ascii="Arimo" w:cs="Arimo" w:eastAsia="Arimo" w:hAnsi="Arimo"/>
          <w:rtl w:val="0"/>
        </w:rPr>
        <w:t xml:space="preserve">in dramatic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 performance </w:t>
      </w:r>
      <w:r w:rsidDel="00000000" w:rsidR="00000000" w:rsidRPr="00000000">
        <w:rPr>
          <w:rFonts w:ascii="Arimo" w:cs="Arimo" w:eastAsia="Arimo" w:hAnsi="Arimo"/>
          <w:rtl w:val="0"/>
        </w:rPr>
        <w:t xml:space="preserve">are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 desirable for this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Course Introduction</w:t>
      </w:r>
    </w:p>
    <w:p w:rsidR="00000000" w:rsidDel="00000000" w:rsidP="00000000" w:rsidRDefault="00000000" w:rsidRPr="00000000" w14:paraId="0000001D">
      <w:pPr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mo" w:cs="Arimo" w:eastAsia="Arimo" w:hAnsi="Arimo"/>
          <w:color w:val="000000"/>
        </w:rPr>
      </w:pP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The aim of this course is to introduce students to samples of </w:t>
      </w:r>
      <w:r w:rsidDel="00000000" w:rsidR="00000000" w:rsidRPr="00000000">
        <w:rPr>
          <w:rFonts w:ascii="Arimo" w:cs="Arimo" w:eastAsia="Arimo" w:hAnsi="Arimo"/>
          <w:i w:val="1"/>
          <w:color w:val="000000"/>
          <w:rtl w:val="0"/>
        </w:rPr>
        <w:t xml:space="preserve">dṛśyakāvya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 - Sanskrit plays. The course will cover two acts from the </w:t>
      </w:r>
      <w:r w:rsidDel="00000000" w:rsidR="00000000" w:rsidRPr="00000000">
        <w:rPr>
          <w:rFonts w:ascii="Arimo" w:cs="Arimo" w:eastAsia="Arimo" w:hAnsi="Arimo"/>
          <w:i w:val="1"/>
          <w:color w:val="000000"/>
          <w:rtl w:val="0"/>
        </w:rPr>
        <w:t xml:space="preserve">Abhijñānaśākuntalam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, and one full </w:t>
      </w:r>
      <w:r w:rsidDel="00000000" w:rsidR="00000000" w:rsidRPr="00000000">
        <w:rPr>
          <w:rFonts w:ascii="Arimo" w:cs="Arimo" w:eastAsia="Arimo" w:hAnsi="Arimo"/>
          <w:i w:val="1"/>
          <w:color w:val="000000"/>
          <w:rtl w:val="0"/>
        </w:rPr>
        <w:t xml:space="preserve">prahasana –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 the </w:t>
      </w:r>
      <w:r w:rsidDel="00000000" w:rsidR="00000000" w:rsidRPr="00000000">
        <w:rPr>
          <w:rFonts w:ascii="Arimo" w:cs="Arimo" w:eastAsia="Arimo" w:hAnsi="Arimo"/>
          <w:i w:val="1"/>
          <w:color w:val="000000"/>
          <w:rtl w:val="0"/>
        </w:rPr>
        <w:t xml:space="preserve">Bhagavadajjukam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. The course will introduce students to technical concepts related to dramaturgy</w:t>
      </w:r>
      <w:r w:rsidDel="00000000" w:rsidR="00000000" w:rsidRPr="00000000">
        <w:rPr>
          <w:rFonts w:ascii="Arimo" w:cs="Arimo" w:eastAsia="Arimo" w:hAnsi="Arimo"/>
          <w:rtl w:val="0"/>
        </w:rPr>
        <w:t xml:space="preserve"> as per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Daśarūpaka</w:t>
      </w:r>
      <w:r w:rsidDel="00000000" w:rsidR="00000000" w:rsidRPr="00000000">
        <w:rPr>
          <w:rFonts w:ascii="Arimo" w:cs="Arimo" w:eastAsia="Arimo" w:hAnsi="Arimo"/>
          <w:rtl w:val="0"/>
        </w:rPr>
        <w:t xml:space="preserve"> of Dhanañjaya. At the end of the course, s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tudents will put up production/performance of a Sanskrit play.</w:t>
      </w:r>
    </w:p>
    <w:p w:rsidR="00000000" w:rsidDel="00000000" w:rsidP="00000000" w:rsidRDefault="00000000" w:rsidRPr="00000000" w14:paraId="0000001F">
      <w:pPr>
        <w:jc w:val="both"/>
        <w:rPr>
          <w:rFonts w:ascii="Arimo" w:cs="Arimo" w:eastAsia="Arimo" w:hAnsi="Arim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Course Objective</w:t>
      </w:r>
    </w:p>
    <w:p w:rsidR="00000000" w:rsidDel="00000000" w:rsidP="00000000" w:rsidRDefault="00000000" w:rsidRPr="00000000" w14:paraId="00000021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To improve linguistic comprehension of Sanskrit and learn to read, parse and interpret the text independently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To develop an eye for details of the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vṛtta-s</w:t>
      </w:r>
      <w:r w:rsidDel="00000000" w:rsidR="00000000" w:rsidRPr="00000000">
        <w:rPr>
          <w:rFonts w:ascii="Arimo" w:cs="Arimo" w:eastAsia="Arimo" w:hAnsi="Arimo"/>
          <w:rtl w:val="0"/>
        </w:rPr>
        <w:t xml:space="preserve"> (poetic metres) and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alaṅkāra-s</w:t>
      </w:r>
      <w:r w:rsidDel="00000000" w:rsidR="00000000" w:rsidRPr="00000000">
        <w:rPr>
          <w:rFonts w:ascii="Arimo" w:cs="Arimo" w:eastAsia="Arimo" w:hAnsi="Arimo"/>
          <w:rtl w:val="0"/>
        </w:rPr>
        <w:t xml:space="preserve"> (figures of speech) in the plays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To learn to appreciate the commentarial literature on nāṭaka, using the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Arthadyotani(ka)</w:t>
      </w:r>
      <w:r w:rsidDel="00000000" w:rsidR="00000000" w:rsidRPr="00000000">
        <w:rPr>
          <w:rFonts w:ascii="Arimo" w:cs="Arimo" w:eastAsia="Arimo" w:hAnsi="Arimo"/>
          <w:rtl w:val="0"/>
        </w:rPr>
        <w:t xml:space="preserve"> of Rāghavabhaṭṭa as an example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To get firsthand practical knowledge of Sanskrit nāṭaka, by enacting a play </w:t>
      </w:r>
    </w:p>
    <w:p w:rsidR="00000000" w:rsidDel="00000000" w:rsidP="00000000" w:rsidRDefault="00000000" w:rsidRPr="00000000" w14:paraId="00000026">
      <w:pPr>
        <w:ind w:left="1440" w:firstLine="0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Course Outcome</w:t>
      </w:r>
    </w:p>
    <w:p w:rsidR="00000000" w:rsidDel="00000000" w:rsidP="00000000" w:rsidRDefault="00000000" w:rsidRPr="00000000" w14:paraId="00000028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The students will acquire linguistic comprehension in Sanskrit, and learn to read, parse and interpret the text independently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The students will identify the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vṛtta-s</w:t>
      </w:r>
      <w:r w:rsidDel="00000000" w:rsidR="00000000" w:rsidRPr="00000000">
        <w:rPr>
          <w:rFonts w:ascii="Arimo" w:cs="Arimo" w:eastAsia="Arimo" w:hAnsi="Arimo"/>
          <w:rtl w:val="0"/>
        </w:rPr>
        <w:t xml:space="preserve"> (poetic metres) and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alaṅkāra-s</w:t>
      </w:r>
      <w:r w:rsidDel="00000000" w:rsidR="00000000" w:rsidRPr="00000000">
        <w:rPr>
          <w:rFonts w:ascii="Arimo" w:cs="Arimo" w:eastAsia="Arimo" w:hAnsi="Arimo"/>
          <w:rtl w:val="0"/>
        </w:rPr>
        <w:t xml:space="preserve"> (figures of speech) in the plays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The students will know how to utilise the commentarial literature on nāṭaka.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The students will get firsthand practical knowledge of Sanskrit nāṭaka, by enacting a play  </w:t>
      </w:r>
    </w:p>
    <w:p w:rsidR="00000000" w:rsidDel="00000000" w:rsidP="00000000" w:rsidRDefault="00000000" w:rsidRPr="00000000" w14:paraId="0000002D">
      <w:pPr>
        <w:ind w:left="1440" w:firstLine="0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060"/>
        </w:tabs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060"/>
        </w:tabs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060"/>
        </w:tabs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PO-CO Mapping</w:t>
      </w:r>
    </w:p>
    <w:p w:rsidR="00000000" w:rsidDel="00000000" w:rsidP="00000000" w:rsidRDefault="00000000" w:rsidRPr="00000000" w14:paraId="00000031">
      <w:pPr>
        <w:tabs>
          <w:tab w:val="left" w:pos="3060"/>
        </w:tabs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06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PO-CO Mapping Matrix</w:t>
      </w:r>
    </w:p>
    <w:p w:rsidR="00000000" w:rsidDel="00000000" w:rsidP="00000000" w:rsidRDefault="00000000" w:rsidRPr="00000000" w14:paraId="00000033">
      <w:pPr>
        <w:tabs>
          <w:tab w:val="left" w:pos="306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286.0" w:type="dxa"/>
        <w:jc w:val="left"/>
        <w:tblInd w:w="13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6"/>
        <w:gridCol w:w="570"/>
        <w:gridCol w:w="570"/>
        <w:gridCol w:w="570"/>
        <w:gridCol w:w="570"/>
        <w:gridCol w:w="570"/>
        <w:gridCol w:w="570"/>
        <w:gridCol w:w="570"/>
        <w:gridCol w:w="570"/>
        <w:tblGridChange w:id="0">
          <w:tblGrid>
            <w:gridCol w:w="1726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CO/PO Mapping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PO8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2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4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6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8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9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A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E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3060"/>
              </w:tabs>
              <w:jc w:val="both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.0" w:type="dxa"/>
              <w:left w:w="110.0" w:type="dxa"/>
              <w:bottom w:w="0.0" w:type="dxa"/>
              <w:right w:w="73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30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306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Prerequisites and other constraints</w:t>
      </w:r>
    </w:p>
    <w:p w:rsidR="00000000" w:rsidDel="00000000" w:rsidP="00000000" w:rsidRDefault="00000000" w:rsidRPr="00000000" w14:paraId="00000064">
      <w:pPr>
        <w:tabs>
          <w:tab w:val="left" w:pos="3060"/>
        </w:tabs>
        <w:spacing w:before="101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This is a core course for MA-Sanskrit students. Students are expected to participate actively in the class and to develop one play for presentation on stage.</w:t>
      </w:r>
    </w:p>
    <w:p w:rsidR="00000000" w:rsidDel="00000000" w:rsidP="00000000" w:rsidRDefault="00000000" w:rsidRPr="00000000" w14:paraId="00000065">
      <w:pPr>
        <w:tabs>
          <w:tab w:val="left" w:pos="3060"/>
        </w:tabs>
        <w:spacing w:before="101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Pedagogy</w:t>
      </w:r>
    </w:p>
    <w:p w:rsidR="00000000" w:rsidDel="00000000" w:rsidP="00000000" w:rsidRDefault="00000000" w:rsidRPr="00000000" w14:paraId="00000067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There are two aspects to this course – one, the selected plays will be studied in great detail, ensuring no one is left behind, so as to develop linguistic skills in interpreting classical Sanskrit; two, the students will stage the shorter play, to develop skills in enunciation and to get a first-hand experience of the flavour of Sanskrit drama. </w:t>
      </w:r>
    </w:p>
    <w:p w:rsidR="00000000" w:rsidDel="00000000" w:rsidP="00000000" w:rsidRDefault="00000000" w:rsidRPr="00000000" w14:paraId="00000068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Suggested Reading: </w:t>
      </w:r>
    </w:p>
    <w:p w:rsidR="00000000" w:rsidDel="00000000" w:rsidP="00000000" w:rsidRDefault="00000000" w:rsidRPr="00000000" w14:paraId="0000006A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Primary Texts: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1080" w:hanging="360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Tripathi, R.S., 1971.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The Daśarūpaka of Dhanañjaya with Avaloka of Dhanika. </w:t>
      </w:r>
      <w:r w:rsidDel="00000000" w:rsidR="00000000" w:rsidRPr="00000000">
        <w:rPr>
          <w:rFonts w:ascii="Arimo" w:cs="Arimo" w:eastAsia="Arimo" w:hAnsi="Arimo"/>
          <w:rtl w:val="0"/>
        </w:rPr>
        <w:t xml:space="preserve">Banaras Hindu University, Varanasi-5.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1080" w:hanging="360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Act IV and V of the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Abhijñānaśākuntalam</w:t>
      </w:r>
      <w:r w:rsidDel="00000000" w:rsidR="00000000" w:rsidRPr="00000000">
        <w:rPr>
          <w:rFonts w:ascii="Arimo" w:cs="Arimo" w:eastAsia="Arimo" w:hAnsi="Arimo"/>
          <w:rtl w:val="0"/>
        </w:rPr>
        <w:t xml:space="preserve"> with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Arthadyotani</w:t>
      </w:r>
      <w:r w:rsidDel="00000000" w:rsidR="00000000" w:rsidRPr="00000000">
        <w:rPr>
          <w:rFonts w:ascii="Arimo" w:cs="Arimo" w:eastAsia="Arimo" w:hAnsi="Arimo"/>
          <w:rtl w:val="0"/>
        </w:rPr>
        <w:t xml:space="preserve"> commentary of Rāghavabhaṭṭa. (M.R.Kale, Motilal Banarsidass Publishers. )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1080" w:hanging="360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Godbole, N.B., 1891.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Mahākaviśrīkālidāsaviracitaṃ Abhijñānaśakuntalam: Rāghavabhaṭṭakrtayārthadyotanikayā vyākhyayā sametam; Nārāyaṇa Bālakrṣṇa Goḍabole Kāśīnātha Pāṇḍuraṅga Paraba ity etābhyāṃ viṣama-pada-vimarśinyā ṭippaṇyā sametaṃ saṃskṛtaṃ</w:t>
      </w:r>
      <w:r w:rsidDel="00000000" w:rsidR="00000000" w:rsidRPr="00000000">
        <w:rPr>
          <w:rFonts w:ascii="Arimo" w:cs="Arimo" w:eastAsia="Arimo" w:hAnsi="Arimo"/>
          <w:rtl w:val="0"/>
        </w:rPr>
        <w:t xml:space="preserve">. Nirṇayasāgara Yantrālaya.  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1080" w:hanging="360"/>
        <w:jc w:val="both"/>
        <w:rPr>
          <w:rFonts w:ascii="Arimo" w:cs="Arimo" w:eastAsia="Arimo" w:hAnsi="Arimo"/>
        </w:rPr>
      </w:pPr>
      <w:bookmarkStart w:colFirst="0" w:colLast="0" w:name="_heading=h.gjdgxs" w:id="0"/>
      <w:bookmarkEnd w:id="0"/>
      <w:r w:rsidDel="00000000" w:rsidR="00000000" w:rsidRPr="00000000">
        <w:rPr>
          <w:rFonts w:ascii="Arimo" w:cs="Arimo" w:eastAsia="Arimo" w:hAnsi="Arimo"/>
          <w:rtl w:val="0"/>
        </w:rPr>
        <w:t xml:space="preserve">Paulose, K.G., 2000.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Bhagavadajjukam in Kūṭiyāṭṭam: the hermit and the harlot, the Sanskrit farce in performance</w:t>
      </w:r>
      <w:r w:rsidDel="00000000" w:rsidR="00000000" w:rsidRPr="00000000">
        <w:rPr>
          <w:rFonts w:ascii="Arimo" w:cs="Arimo" w:eastAsia="Arimo" w:hAnsi="Arimo"/>
          <w:rtl w:val="0"/>
        </w:rPr>
        <w:t xml:space="preserve">. New Bharatiya Book Corporation. 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1080" w:hanging="360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Lockwood, M. and Bhat, V., 1978. Bhagavadajjuka Prahasana. A Philosophical Farce by King Mahendravikramavarma Pallava (Edition and Translation).  </w:t>
      </w:r>
    </w:p>
    <w:p w:rsidR="00000000" w:rsidDel="00000000" w:rsidP="00000000" w:rsidRDefault="00000000" w:rsidRPr="00000000" w14:paraId="00000071">
      <w:pPr>
        <w:ind w:left="1080" w:firstLine="0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Secondary readings: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Gerow, E., 1979. Plot Structure and the Development of Rasa in the Śakuntalā. Pt. I.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Journal of the American Oriental Society</w:t>
      </w:r>
      <w:r w:rsidDel="00000000" w:rsidR="00000000" w:rsidRPr="00000000">
        <w:rPr>
          <w:rFonts w:ascii="Arimo" w:cs="Arimo" w:eastAsia="Arimo" w:hAnsi="Arimo"/>
          <w:rtl w:val="0"/>
        </w:rPr>
        <w:t xml:space="preserve">, pp.559-572. </w:t>
      </w:r>
    </w:p>
    <w:p w:rsidR="00000000" w:rsidDel="00000000" w:rsidP="00000000" w:rsidRDefault="00000000" w:rsidRPr="00000000" w14:paraId="00000074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 </w:t>
      </w:r>
    </w:p>
    <w:p w:rsidR="00000000" w:rsidDel="00000000" w:rsidP="00000000" w:rsidRDefault="00000000" w:rsidRPr="00000000" w14:paraId="00000075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Evaluation Pattern</w:t>
      </w:r>
    </w:p>
    <w:p w:rsidR="00000000" w:rsidDel="00000000" w:rsidP="00000000" w:rsidRDefault="00000000" w:rsidRPr="00000000" w14:paraId="00000076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This course seeks to help learners develop their linguistic skills in reading and interpreting Sanskrit texts, as well as honing a higher appreciation of literary and poetic nuance. Equally, the aim is for them to develop confidence in speaking and declaiming in Sanskrit</w:t>
      </w:r>
    </w:p>
    <w:p w:rsidR="00000000" w:rsidDel="00000000" w:rsidP="00000000" w:rsidRDefault="00000000" w:rsidRPr="00000000" w14:paraId="00000078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Keeping this in mind, the evaluation components are distributed over written assignments, examinations and performative elements that the students must work on continuously throughout the semester.</w:t>
      </w:r>
    </w:p>
    <w:p w:rsidR="00000000" w:rsidDel="00000000" w:rsidP="00000000" w:rsidRDefault="00000000" w:rsidRPr="00000000" w14:paraId="0000007A">
      <w:pPr>
        <w:jc w:val="center"/>
        <w:rPr>
          <w:rFonts w:ascii="Arimo" w:cs="Arimo" w:eastAsia="Arimo" w:hAnsi="Arim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mo" w:cs="Arimo" w:eastAsia="Arimo" w:hAnsi="Arimo"/>
          <w:b w:val="1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Evaluation Matrix</w:t>
      </w:r>
    </w:p>
    <w:p w:rsidR="00000000" w:rsidDel="00000000" w:rsidP="00000000" w:rsidRDefault="00000000" w:rsidRPr="00000000" w14:paraId="0000007C">
      <w:pPr>
        <w:jc w:val="center"/>
        <w:rPr>
          <w:rFonts w:ascii="Arimo" w:cs="Arimo" w:eastAsia="Arimo" w:hAnsi="Arim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9.0" w:type="dxa"/>
        <w:jc w:val="left"/>
        <w:tblInd w:w="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7"/>
        <w:gridCol w:w="1541"/>
        <w:gridCol w:w="1511"/>
        <w:gridCol w:w="837"/>
        <w:gridCol w:w="1985"/>
        <w:gridCol w:w="1408"/>
        <w:tblGridChange w:id="0">
          <w:tblGrid>
            <w:gridCol w:w="1697"/>
            <w:gridCol w:w="1541"/>
            <w:gridCol w:w="1511"/>
            <w:gridCol w:w="837"/>
            <w:gridCol w:w="1985"/>
            <w:gridCol w:w="1408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ind w:right="41"/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41"/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right="41"/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Continuous Internal</w:t>
            </w:r>
          </w:p>
          <w:p w:rsidR="00000000" w:rsidDel="00000000" w:rsidP="00000000" w:rsidRDefault="00000000" w:rsidRPr="00000000" w14:paraId="00000080">
            <w:pPr>
              <w:ind w:right="41"/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Assessment (CIA) Components*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Component 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Weightage Percentage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Tentative 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Course Outcome Mapping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ind w:right="44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Test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ind w:right="43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At the end of each module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1,2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ind w:right="44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Assignment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ind w:right="43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1.Before Mid Term</w:t>
            </w:r>
          </w:p>
          <w:p w:rsidR="00000000" w:rsidDel="00000000" w:rsidP="00000000" w:rsidRDefault="00000000" w:rsidRPr="00000000" w14:paraId="00000092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2. After Mid Term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1,2,3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ind w:right="44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Mid-term examination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ind w:right="43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 per university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1,2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ind w:right="44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End-term play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ind w:right="43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Before 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4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ind w:right="44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CIA 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ind w:right="43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ind w:left="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ind w:right="44"/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ind w:right="43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ind w:left="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 per university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ind w:left="2" w:firstLine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1,2,3</w:t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br w:type="textWrapping"/>
        <w:t xml:space="preserve">Module Sessions</w:t>
      </w:r>
    </w:p>
    <w:p w:rsidR="00000000" w:rsidDel="00000000" w:rsidP="00000000" w:rsidRDefault="00000000" w:rsidRPr="00000000" w14:paraId="000000AD">
      <w:pPr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 1: Introduction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Hrs)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introduction to Sanskrit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rūpaka-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and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prakaraṇa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as per </w:t>
      </w: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Daśarūpaka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of Dhanañjaya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elements of a Sanskrit play -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arthaprakṛti, avasthā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sandhi,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i w:val="1"/>
          <w:sz w:val="24"/>
          <w:szCs w:val="24"/>
          <w:u w:val="none"/>
        </w:rPr>
      </w:pP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Prabheda-s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vastu-netā-rasa, nāyikā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i w:val="1"/>
          <w:sz w:val="24"/>
          <w:szCs w:val="24"/>
          <w:u w:val="none"/>
        </w:rPr>
      </w:pP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Pañca arthopakṣepaka-s,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i w:val="1"/>
          <w:sz w:val="24"/>
          <w:szCs w:val="24"/>
          <w:u w:val="none"/>
        </w:rPr>
      </w:pP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sarvaśrāvya, niyataśrāvya &amp; aśrāvya, ākāśabhāṣita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i w:val="1"/>
          <w:sz w:val="24"/>
          <w:szCs w:val="24"/>
          <w:u w:val="none"/>
        </w:rPr>
      </w:pP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nāṭakalakṣaṇa, prahasanalakṣaṇa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i w:val="1"/>
          <w:sz w:val="24"/>
          <w:szCs w:val="24"/>
          <w:u w:val="none"/>
        </w:rPr>
      </w:pP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nāndī, sūtradhāra, prastāvanā/sthāpanā, bharatavākya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Readings - </w:t>
      </w:r>
    </w:p>
    <w:p w:rsidR="00000000" w:rsidDel="00000000" w:rsidP="00000000" w:rsidRDefault="00000000" w:rsidRPr="00000000" w14:paraId="000000B9">
      <w:pPr>
        <w:ind w:left="0" w:firstLine="0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jc w:val="both"/>
        <w:rPr>
          <w:rFonts w:ascii="Arimo" w:cs="Arimo" w:eastAsia="Arimo" w:hAnsi="Arimo"/>
          <w:b w:val="1"/>
          <w:sz w:val="26"/>
          <w:szCs w:val="26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Tripathi, R.S., 1971. </w:t>
      </w: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The Daśarūpaka of Dhanañjaya with Avaloka of Dhanika.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Banaras Hindu University, Varanasi-5.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Shekhar, I., 1978.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Sanskrit drama: its origin and decline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Munshiram Manoharlal.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Mehta, T., 1995.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Sanskrit Play Production in Ancient India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(Vol. 5). Motilal Banarsidass.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 2: Abhijñānaśākuntalam - an introduction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Hrs)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introduction to the plot of Abhijñānaśākuntalam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importance of act IV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Pusalker, A.D., 1960. Literary Background of Rāghavabhaṭṭa, Author of Padārthādarśa (Comm. on Śāradātilaka) And Arthadyotanikā (Comm. on Abhijñāna-Śākuntala).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Annals of the Bhandarkar Oriental Research Institute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(1/4), pp.29-48.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 3: Abhijñānaśākuntalam – Act IV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Hrs)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detailed reading of the fourth act of the Śākuntalam, with word-by-word glosses, and attention to grammatical details and poetic features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Readings -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Kale, M. R., 1994 (1898) "The Abhijñānaśākuntalam of Kālidāsa with commentary of Rāghavabhaṭṭa." Delhi: Motilal Banarsidass [repr.]  p119-155.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 4: Abhijñānaśākuntalam – Act V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Hrs)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detailed reading of the fifth act of the Śākuntalam, with word-by-word glosses, attention to grammatical details and poetic features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92" w:firstLine="0"/>
        <w:jc w:val="left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Kale, M. R., 1994 (1898) "The Abhijñānaśākuntalam of Kālidāsa with commentary of Rāghavabhaṭṭa." Delhi: Motilal Banarsidass [repr.]  p155-200.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 5: Bhagavadajjukam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Hrs)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92" w:hanging="360"/>
        <w:jc w:val="left"/>
        <w:rPr>
          <w:rFonts w:ascii="Arimo" w:cs="Arimo" w:eastAsia="Arimo" w:hAnsi="Arimo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close reading of the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Bhagavadajjukam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with word-by-word glosses, attention to grammatical details and poetic features.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Readings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Rajendran, C. ed., 2002.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Living traditions of Nāṭyaśāstra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Bharatiya Book Corporation.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Paulose, K.G., 2000.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Bhagavadajjukam in Kūṭiyāṭṭam: the hermit and the harlot, the Sanskrit farce in performance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Bharatiya Book Corporation.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mbria"/>
  <w:font w:name="Georgia"/>
  <w:font w:name="Arial"/>
  <w:font w:name="Times New Roman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sz w:val="24"/>
        <w:szCs w:val="24"/>
      </w:rPr>
    </w:pPr>
    <w:r w:rsidDel="00000000" w:rsidR="00000000" w:rsidRPr="00000000">
      <w:rPr>
        <w:rFonts w:ascii="Arimo" w:cs="Arimo" w:eastAsia="Arimo" w:hAnsi="Arimo"/>
        <w:b w:val="1"/>
        <w:sz w:val="20"/>
        <w:szCs w:val="20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5486902</wp:posOffset>
          </wp:positionH>
          <wp:positionV relativeFrom="page">
            <wp:posOffset>11430</wp:posOffset>
          </wp:positionV>
          <wp:extent cx="2096300" cy="663282"/>
          <wp:effectExtent b="0" l="0" r="0" t="0"/>
          <wp:wrapSquare wrapText="bothSides" distB="114300" distT="11430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6300" cy="6632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mo" w:cs="Arimo" w:eastAsia="Arimo" w:hAnsi="Arimo"/>
        <w:b w:val="1"/>
        <w:sz w:val="20"/>
        <w:szCs w:val="20"/>
        <w:rtl w:val="0"/>
      </w:rPr>
      <w:t xml:space="preserve">Version No:                                                                                 </w:t>
      <w:br w:type="textWrapping"/>
      <w:t xml:space="preserve">Approval Date: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rFonts w:ascii="Cambria" w:cs="Cambria" w:eastAsia="Cambria" w:hAnsi="Cambri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  <w:rPr>
        <w:rFonts w:ascii="Cambria" w:cs="Cambria" w:eastAsia="Cambria" w:hAnsi="Cambri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8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bottom w:color="4f81bd" w:space="4" w:sz="8" w:val="single"/>
      </w:pBdr>
      <w:spacing w:after="300" w:lineRule="auto"/>
      <w:jc w:val="center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8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bottom w:color="4f81bd" w:space="4" w:sz="8" w:val="single"/>
      </w:pBdr>
      <w:spacing w:after="300" w:lineRule="auto"/>
      <w:jc w:val="center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5E43A1"/>
    <w:pPr>
      <w:widowControl w:val="0"/>
    </w:pPr>
    <w:rPr>
      <w:rFonts w:ascii="Trebuchet MS" w:cs="Trebuchet MS" w:eastAsia="Trebuchet MS" w:hAnsi="Trebuchet MS"/>
      <w:sz w:val="22"/>
      <w:lang w:bidi="en-US" w:val="en-GB"/>
    </w:rPr>
  </w:style>
  <w:style w:type="paragraph" w:styleId="Heading1">
    <w:name w:val="heading 1"/>
    <w:basedOn w:val="Normal"/>
    <w:link w:val="Heading1Char"/>
    <w:uiPriority w:val="9"/>
    <w:qFormat w:val="1"/>
    <w:rsid w:val="005E43A1"/>
    <w:pPr>
      <w:ind w:left="18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5E43A1"/>
    <w:rPr>
      <w:rFonts w:ascii="Trebuchet MS" w:cs="Trebuchet MS" w:eastAsia="Trebuchet MS" w:hAnsi="Trebuchet MS"/>
      <w:b w:val="1"/>
      <w:bCs w:val="1"/>
      <w:sz w:val="24"/>
      <w:szCs w:val="24"/>
      <w:lang w:bidi="en-US" w:val="en-US"/>
    </w:rPr>
  </w:style>
  <w:style w:type="character" w:styleId="BodyTextChar" w:customStyle="1">
    <w:name w:val="Body Text Char"/>
    <w:basedOn w:val="DefaultParagraphFont"/>
    <w:link w:val="BodyText"/>
    <w:uiPriority w:val="1"/>
    <w:qFormat w:val="1"/>
    <w:rsid w:val="005E43A1"/>
    <w:rPr>
      <w:rFonts w:ascii="Trebuchet MS" w:cs="Trebuchet MS" w:eastAsia="Trebuchet MS" w:hAnsi="Trebuchet MS"/>
      <w:sz w:val="24"/>
      <w:szCs w:val="24"/>
      <w:lang w:bidi="en-US"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0568FD"/>
    <w:rPr>
      <w:rFonts w:ascii="Segoe UI" w:cs="Segoe UI" w:eastAsia="Trebuchet MS" w:hAnsi="Segoe UI"/>
      <w:sz w:val="18"/>
      <w:szCs w:val="18"/>
      <w:lang w:bidi="en-US" w:val="en-US"/>
    </w:rPr>
  </w:style>
  <w:style w:type="character" w:styleId="NoSpacingChar" w:customStyle="1">
    <w:name w:val="No Spacing Char"/>
    <w:basedOn w:val="DefaultParagraphFont"/>
    <w:link w:val="NoSpacing"/>
    <w:uiPriority w:val="1"/>
    <w:qFormat w:val="1"/>
    <w:rsid w:val="000B3DC0"/>
    <w:rPr>
      <w:rFonts w:eastAsiaTheme="minorEastAsia"/>
      <w:sz w:val="20"/>
      <w:szCs w:val="20"/>
      <w:lang w:bidi="en-US" w:val="en-US"/>
    </w:rPr>
  </w:style>
  <w:style w:type="character" w:styleId="TitleChar" w:customStyle="1">
    <w:name w:val="Title Char"/>
    <w:basedOn w:val="DefaultParagraphFont"/>
    <w:link w:val="Title"/>
    <w:qFormat w:val="1"/>
    <w:rsid w:val="00973CFD"/>
    <w:rPr>
      <w:rFonts w:ascii="Cambria" w:cs="Times New Roman" w:eastAsia="Times New Roman" w:hAnsi="Cambria"/>
      <w:color w:val="17365d"/>
      <w:spacing w:val="5"/>
      <w:kern w:val="2"/>
      <w:sz w:val="52"/>
      <w:szCs w:val="52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7529E6"/>
    <w:rPr>
      <w:rFonts w:ascii="Trebuchet MS" w:cs="Trebuchet MS" w:eastAsia="Trebuchet MS" w:hAnsi="Trebuchet MS"/>
      <w:lang w:bidi="en-US" w:val="en-US"/>
    </w:rPr>
  </w:style>
  <w:style w:type="character" w:styleId="FooterChar" w:customStyle="1">
    <w:name w:val="Footer Char"/>
    <w:basedOn w:val="DefaultParagraphFont"/>
    <w:link w:val="Footer"/>
    <w:uiPriority w:val="99"/>
    <w:qFormat w:val="1"/>
    <w:rsid w:val="007529E6"/>
    <w:rPr>
      <w:rFonts w:ascii="Trebuchet MS" w:cs="Trebuchet MS" w:eastAsia="Trebuchet MS" w:hAnsi="Trebuchet MS"/>
      <w:lang w:bidi="en-US" w:val="en-US"/>
    </w:rPr>
  </w:style>
  <w:style w:type="character" w:styleId="ListLabel1" w:customStyle="1">
    <w:name w:val="ListLabel 1"/>
    <w:qFormat w:val="1"/>
    <w:rPr>
      <w:rFonts w:cs="Trebuchet MS" w:eastAsia="Trebuchet MS"/>
      <w:spacing w:val="-17"/>
      <w:w w:val="100"/>
      <w:sz w:val="24"/>
      <w:szCs w:val="24"/>
      <w:lang w:bidi="en-US" w:eastAsia="en-US" w:val="en-US"/>
    </w:rPr>
  </w:style>
  <w:style w:type="character" w:styleId="ListLabel2" w:customStyle="1">
    <w:name w:val="ListLabel 2"/>
    <w:qFormat w:val="1"/>
    <w:rPr>
      <w:lang w:bidi="en-US" w:eastAsia="en-US" w:val="en-US"/>
    </w:rPr>
  </w:style>
  <w:style w:type="character" w:styleId="ListLabel3" w:customStyle="1">
    <w:name w:val="ListLabel 3"/>
    <w:qFormat w:val="1"/>
    <w:rPr>
      <w:lang w:bidi="en-US" w:eastAsia="en-US" w:val="en-US"/>
    </w:rPr>
  </w:style>
  <w:style w:type="character" w:styleId="ListLabel4" w:customStyle="1">
    <w:name w:val="ListLabel 4"/>
    <w:qFormat w:val="1"/>
    <w:rPr>
      <w:lang w:bidi="en-US" w:eastAsia="en-US" w:val="en-US"/>
    </w:rPr>
  </w:style>
  <w:style w:type="character" w:styleId="ListLabel5" w:customStyle="1">
    <w:name w:val="ListLabel 5"/>
    <w:qFormat w:val="1"/>
    <w:rPr>
      <w:lang w:bidi="en-US" w:eastAsia="en-US" w:val="en-US"/>
    </w:rPr>
  </w:style>
  <w:style w:type="character" w:styleId="ListLabel6" w:customStyle="1">
    <w:name w:val="ListLabel 6"/>
    <w:qFormat w:val="1"/>
    <w:rPr>
      <w:lang w:bidi="en-US" w:eastAsia="en-US" w:val="en-US"/>
    </w:rPr>
  </w:style>
  <w:style w:type="character" w:styleId="ListLabel7" w:customStyle="1">
    <w:name w:val="ListLabel 7"/>
    <w:qFormat w:val="1"/>
    <w:rPr>
      <w:lang w:bidi="en-US" w:eastAsia="en-US" w:val="en-US"/>
    </w:rPr>
  </w:style>
  <w:style w:type="character" w:styleId="ListLabel8" w:customStyle="1">
    <w:name w:val="ListLabel 8"/>
    <w:qFormat w:val="1"/>
    <w:rPr>
      <w:lang w:bidi="en-US" w:eastAsia="en-US" w:val="en-US"/>
    </w:rPr>
  </w:style>
  <w:style w:type="character" w:styleId="ListLabel9" w:customStyle="1">
    <w:name w:val="ListLabel 9"/>
    <w:qFormat w:val="1"/>
    <w:rPr>
      <w:lang w:bidi="en-US" w:eastAsia="en-US" w:val="en-US"/>
    </w:rPr>
  </w:style>
  <w:style w:type="character" w:styleId="ListLabel10" w:customStyle="1">
    <w:name w:val="ListLabel 10"/>
    <w:qFormat w:val="1"/>
    <w:rPr>
      <w:rFonts w:cs="Trebuchet MS" w:eastAsia="Trebuchet MS"/>
      <w:spacing w:val="-2"/>
      <w:w w:val="100"/>
      <w:sz w:val="24"/>
      <w:szCs w:val="24"/>
      <w:lang w:bidi="en-US" w:eastAsia="en-US" w:val="en-US"/>
    </w:rPr>
  </w:style>
  <w:style w:type="character" w:styleId="ListLabel11" w:customStyle="1">
    <w:name w:val="ListLabel 11"/>
    <w:qFormat w:val="1"/>
    <w:rPr>
      <w:lang w:bidi="en-US" w:eastAsia="en-US" w:val="en-US"/>
    </w:rPr>
  </w:style>
  <w:style w:type="character" w:styleId="ListLabel12" w:customStyle="1">
    <w:name w:val="ListLabel 12"/>
    <w:qFormat w:val="1"/>
    <w:rPr>
      <w:lang w:bidi="en-US" w:eastAsia="en-US" w:val="en-US"/>
    </w:rPr>
  </w:style>
  <w:style w:type="character" w:styleId="ListLabel13" w:customStyle="1">
    <w:name w:val="ListLabel 13"/>
    <w:qFormat w:val="1"/>
    <w:rPr>
      <w:lang w:bidi="en-US" w:eastAsia="en-US" w:val="en-US"/>
    </w:rPr>
  </w:style>
  <w:style w:type="character" w:styleId="ListLabel14" w:customStyle="1">
    <w:name w:val="ListLabel 14"/>
    <w:qFormat w:val="1"/>
    <w:rPr>
      <w:lang w:bidi="en-US" w:eastAsia="en-US" w:val="en-US"/>
    </w:rPr>
  </w:style>
  <w:style w:type="character" w:styleId="ListLabel15" w:customStyle="1">
    <w:name w:val="ListLabel 15"/>
    <w:qFormat w:val="1"/>
    <w:rPr>
      <w:lang w:bidi="en-US" w:eastAsia="en-US" w:val="en-US"/>
    </w:rPr>
  </w:style>
  <w:style w:type="character" w:styleId="ListLabel16" w:customStyle="1">
    <w:name w:val="ListLabel 16"/>
    <w:qFormat w:val="1"/>
    <w:rPr>
      <w:lang w:bidi="en-US" w:eastAsia="en-US" w:val="en-US"/>
    </w:rPr>
  </w:style>
  <w:style w:type="character" w:styleId="ListLabel17" w:customStyle="1">
    <w:name w:val="ListLabel 17"/>
    <w:qFormat w:val="1"/>
    <w:rPr>
      <w:lang w:bidi="en-US" w:eastAsia="en-US" w:val="en-US"/>
    </w:rPr>
  </w:style>
  <w:style w:type="character" w:styleId="ListLabel18" w:customStyle="1">
    <w:name w:val="ListLabel 18"/>
    <w:qFormat w:val="1"/>
    <w:rPr>
      <w:lang w:bidi="en-US" w:eastAsia="en-US" w:val="en-US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</w:style>
  <w:style w:type="character" w:styleId="ListLabel23" w:customStyle="1">
    <w:name w:val="ListLabel 23"/>
    <w:qFormat w:val="1"/>
  </w:style>
  <w:style w:type="character" w:styleId="ListLabel24" w:customStyle="1">
    <w:name w:val="ListLabel 24"/>
    <w:qFormat w:val="1"/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color w:val="auto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Courier New"/>
    </w:rPr>
  </w:style>
  <w:style w:type="character" w:styleId="ListLabel34" w:customStyle="1">
    <w:name w:val="ListLabel 34"/>
    <w:qFormat w:val="1"/>
    <w:rPr>
      <w:rFonts w:cs="Courier New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Courier New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ourier New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cs="Courier New"/>
    </w:rPr>
  </w:style>
  <w:style w:type="character" w:styleId="ListLabel44" w:customStyle="1">
    <w:name w:val="ListLabel 44"/>
    <w:qFormat w:val="1"/>
    <w:rPr>
      <w:rFonts w:cs="Courier New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ascii="Arial Unicode MS" w:hAnsi="Arial Unicode MS"/>
      <w:b w:val="1"/>
      <w:bCs w:val="1"/>
      <w:sz w:val="20"/>
      <w:szCs w:val="24"/>
    </w:rPr>
  </w:style>
  <w:style w:type="character" w:styleId="ListLabel48" w:customStyle="1">
    <w:name w:val="ListLabel 48"/>
    <w:qFormat w:val="1"/>
    <w:rPr>
      <w:rFonts w:ascii="Arial Unicode MS" w:hAnsi="Arial Unicode MS"/>
      <w:b w:val="1"/>
      <w:sz w:val="20"/>
      <w:szCs w:val="24"/>
    </w:rPr>
  </w:style>
  <w:style w:type="character" w:styleId="ListLabel49" w:customStyle="1">
    <w:name w:val="ListLabel 49"/>
    <w:qFormat w:val="1"/>
    <w:rPr>
      <w:rFonts w:ascii="Arial Unicode MS" w:hAnsi="Arial Unicode MS"/>
      <w:b w:val="1"/>
      <w:sz w:val="20"/>
      <w:szCs w:val="24"/>
    </w:rPr>
  </w:style>
  <w:style w:type="character" w:styleId="ListLabel50" w:customStyle="1">
    <w:name w:val="ListLabel 50"/>
    <w:qFormat w:val="1"/>
    <w:rPr>
      <w:sz w:val="20"/>
    </w:rPr>
  </w:style>
  <w:style w:type="character" w:styleId="ListLabel51" w:customStyle="1">
    <w:name w:val="ListLabel 51"/>
    <w:qFormat w:val="1"/>
    <w:rPr>
      <w:sz w:val="20"/>
    </w:rPr>
  </w:style>
  <w:style w:type="character" w:styleId="ListLabel52" w:customStyle="1">
    <w:name w:val="ListLabel 52"/>
    <w:qFormat w:val="1"/>
    <w:rPr>
      <w:sz w:val="20"/>
    </w:rPr>
  </w:style>
  <w:style w:type="character" w:styleId="ListLabel53" w:customStyle="1">
    <w:name w:val="ListLabel 53"/>
    <w:qFormat w:val="1"/>
    <w:rPr>
      <w:sz w:val="20"/>
    </w:rPr>
  </w:style>
  <w:style w:type="character" w:styleId="ListLabel54" w:customStyle="1">
    <w:name w:val="ListLabel 54"/>
    <w:qFormat w:val="1"/>
    <w:rPr>
      <w:sz w:val="20"/>
    </w:rPr>
  </w:style>
  <w:style w:type="character" w:styleId="ListLabel55" w:customStyle="1">
    <w:name w:val="ListLabel 55"/>
    <w:qFormat w:val="1"/>
    <w:rPr>
      <w:sz w:val="20"/>
    </w:rPr>
  </w:style>
  <w:style w:type="character" w:styleId="ListLabel56" w:customStyle="1">
    <w:name w:val="ListLabel 56"/>
    <w:qFormat w:val="1"/>
    <w:rPr>
      <w:sz w:val="20"/>
    </w:rPr>
  </w:style>
  <w:style w:type="character" w:styleId="ListLabel57" w:customStyle="1">
    <w:name w:val="ListLabel 57"/>
    <w:qFormat w:val="1"/>
    <w:rPr>
      <w:sz w:val="20"/>
    </w:rPr>
  </w:style>
  <w:style w:type="character" w:styleId="ListLabel58" w:customStyle="1">
    <w:name w:val="ListLabel 58"/>
    <w:qFormat w:val="1"/>
    <w:rPr>
      <w:sz w:val="20"/>
    </w:rPr>
  </w:style>
  <w:style w:type="character" w:styleId="ListLabel59" w:customStyle="1">
    <w:name w:val="ListLabel 59"/>
    <w:qFormat w:val="1"/>
    <w:rPr>
      <w:rFonts w:ascii="Arial Unicode MS" w:hAnsi="Arial Unicode MS"/>
      <w:b w:val="1"/>
      <w:bCs w:val="1"/>
      <w:sz w:val="24"/>
    </w:rPr>
  </w:style>
  <w:style w:type="character" w:styleId="ListLabel60" w:customStyle="1">
    <w:name w:val="ListLabel 60"/>
    <w:qFormat w:val="1"/>
    <w:rPr>
      <w:rFonts w:ascii="Arial Unicode MS" w:hAnsi="Arial Unicode MS"/>
      <w:b w:val="1"/>
      <w:bCs w:val="1"/>
      <w:sz w:val="20"/>
      <w:szCs w:val="24"/>
    </w:rPr>
  </w:style>
  <w:style w:type="character" w:styleId="ListLabel61" w:customStyle="1">
    <w:name w:val="ListLabel 61"/>
    <w:qFormat w:val="1"/>
    <w:rPr>
      <w:rFonts w:ascii="Arial Unicode MS" w:hAnsi="Arial Unicode MS"/>
      <w:b w:val="1"/>
      <w:sz w:val="20"/>
      <w:szCs w:val="24"/>
    </w:rPr>
  </w:style>
  <w:style w:type="character" w:styleId="ListLabel62" w:customStyle="1">
    <w:name w:val="ListLabel 62"/>
    <w:qFormat w:val="1"/>
    <w:rPr>
      <w:rFonts w:ascii="Arial Unicode MS" w:hAnsi="Arial Unicode MS"/>
      <w:b w:val="1"/>
      <w:sz w:val="20"/>
      <w:szCs w:val="24"/>
    </w:rPr>
  </w:style>
  <w:style w:type="character" w:styleId="ListLabel63" w:customStyle="1">
    <w:name w:val="ListLabel 63"/>
    <w:qFormat w:val="1"/>
    <w:rPr>
      <w:rFonts w:ascii="Arial Unicode MS" w:hAnsi="Arial Unicode MS"/>
      <w:b w:val="1"/>
      <w:bCs w:val="1"/>
      <w:sz w:val="24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 w:val="1"/>
    <w:rsid w:val="005E43A1"/>
    <w:rPr>
      <w:sz w:val="24"/>
      <w:szCs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FreeSans"/>
    </w:rPr>
  </w:style>
  <w:style w:type="paragraph" w:styleId="ListParagraph">
    <w:name w:val="List Paragraph"/>
    <w:basedOn w:val="Normal"/>
    <w:uiPriority w:val="34"/>
    <w:qFormat w:val="1"/>
    <w:rsid w:val="005E43A1"/>
    <w:pPr>
      <w:ind w:left="538" w:hanging="358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0568FD"/>
    <w:rPr>
      <w:rFonts w:ascii="Segoe UI" w:cs="Segoe UI" w:hAnsi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 w:val="1"/>
    <w:rsid w:val="000B3DC0"/>
    <w:pPr>
      <w:widowControl w:val="1"/>
    </w:pPr>
    <w:rPr>
      <w:rFonts w:asciiTheme="minorHAnsi" w:cstheme="minorBidi" w:eastAsiaTheme="minorEastAsia" w:hAnsiTheme="minorHAnsi"/>
      <w:sz w:val="20"/>
      <w:szCs w:val="20"/>
    </w:rPr>
  </w:style>
  <w:style w:type="paragraph" w:styleId="Title">
    <w:name w:val="Title"/>
    <w:basedOn w:val="Normal"/>
    <w:next w:val="Normal"/>
    <w:link w:val="TitleChar"/>
    <w:qFormat w:val="1"/>
    <w:rsid w:val="00973CFD"/>
    <w:pPr>
      <w:widowControl w:val="1"/>
      <w:pBdr>
        <w:bottom w:color="4f81bd" w:space="4" w:sz="8" w:val="single"/>
      </w:pBdr>
      <w:spacing w:after="300"/>
      <w:contextualSpacing w:val="1"/>
      <w:jc w:val="center"/>
    </w:pPr>
    <w:rPr>
      <w:rFonts w:ascii="Cambria" w:cs="Times New Roman" w:eastAsia="Times New Roman" w:hAnsi="Cambria"/>
      <w:color w:val="17365d"/>
      <w:spacing w:val="5"/>
      <w:kern w:val="2"/>
      <w:sz w:val="52"/>
      <w:szCs w:val="52"/>
      <w:lang w:bidi="ar-SA"/>
    </w:rPr>
  </w:style>
  <w:style w:type="paragraph" w:styleId="Header">
    <w:name w:val="header"/>
    <w:basedOn w:val="Normal"/>
    <w:link w:val="HeaderChar"/>
    <w:uiPriority w:val="99"/>
    <w:unhideWhenUsed w:val="1"/>
    <w:rsid w:val="007529E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 w:val="1"/>
    <w:rsid w:val="007529E6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AB5024"/>
    <w:pPr>
      <w:widowControl w:val="1"/>
      <w:spacing w:afterAutospacing="1" w:beforeAutospacing="1"/>
    </w:pPr>
    <w:rPr>
      <w:rFonts w:ascii="Times New Roman" w:cs="Times New Roman" w:eastAsia="Times New Roman" w:hAnsi="Times New Roman"/>
      <w:sz w:val="24"/>
      <w:szCs w:val="24"/>
      <w:lang w:bidi="ar-SA" w:eastAsia="en-IN" w:val="en-IN"/>
    </w:rPr>
  </w:style>
  <w:style w:type="table" w:styleId="TableGrid">
    <w:name w:val="Table Grid"/>
    <w:basedOn w:val="TableNormal"/>
    <w:uiPriority w:val="59"/>
    <w:rsid w:val="00BB5852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TableGrid0" w:customStyle="1">
    <w:name w:val="TableGrid"/>
    <w:rsid w:val="00933614"/>
    <w:rPr>
      <w:rFonts w:eastAsiaTheme="minorEastAsia"/>
      <w:lang w:eastAsia="en-IN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Trebuchet MS" w:cs="Trebuchet MS" w:eastAsia="Trebuchet MS" w:hAnsi="Trebuchet MS"/>
      <w:szCs w:val="20"/>
      <w:lang w:bidi="en-US"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C2A5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C2A56"/>
    <w:rPr>
      <w:rFonts w:ascii="Trebuchet MS" w:cs="Trebuchet MS" w:eastAsia="Trebuchet MS" w:hAnsi="Trebuchet MS"/>
      <w:b w:val="1"/>
      <w:bCs w:val="1"/>
      <w:szCs w:val="20"/>
      <w:lang w:bidi="en-US" w:val="en-US"/>
    </w:rPr>
  </w:style>
  <w:style w:type="paragraph" w:styleId="Revision">
    <w:name w:val="Revision"/>
    <w:hidden w:val="1"/>
    <w:uiPriority w:val="99"/>
    <w:semiHidden w:val="1"/>
    <w:rsid w:val="004422B5"/>
    <w:rPr>
      <w:rFonts w:ascii="Trebuchet MS" w:cs="Trebuchet MS" w:eastAsia="Trebuchet MS" w:hAnsi="Trebuchet MS"/>
      <w:sz w:val="22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.0" w:type="dxa"/>
        <w:left w:w="110.0" w:type="dxa"/>
        <w:bottom w:w="0.0" w:type="dxa"/>
        <w:right w:w="7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.0" w:type="dxa"/>
        <w:left w:w="110.0" w:type="dxa"/>
        <w:bottom w:w="0.0" w:type="dxa"/>
        <w:right w:w="7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.0" w:type="dxa"/>
        <w:left w:w="110.0" w:type="dxa"/>
        <w:bottom w:w="0.0" w:type="dxa"/>
        <w:right w:w="7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.0" w:type="dxa"/>
        <w:left w:w="110.0" w:type="dxa"/>
        <w:bottom w:w="0.0" w:type="dxa"/>
        <w:right w:w="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zaUIiiNjDuYL3rnujnzwaf1XQ==">AMUW2mVdUdym83ilIoDbkqIEo+qTtnXt87gR5WX3odcr5cc2Ahy/ER2cdRuNG+U2/ZXg7uqIQ/5ctHmVzxYMuMLJbHLZHzI4tbl4gAbZiOxlpxLISF31sdvTJ+C95T9+Smc5+zl9zlNWrE8WvFVoehU23s01X9SaBIWr0lDDFlEHV+mt+kUKxwkxE0rxO1ABHtFffpDfJ0T9UHF19JaHlWIpG7Z7pzx20G6B0vy3dkhx6ZdxeR046A062HkQoxtQfZSL1ryRluw4GXqn8E4UFM0aWXhSCfv4ljP4aqgvoZ5e69eqFGYKBMrS6dDbJDCahwDug3d00cx7bcjxkAN4h5JTQ/mYb5aFLBhrXn9UX3jHblGJ75jS+dYKLrPRcu7AQoBdTPcXX7MZIO3AXgG0DborD1apJQHniZdgYWe9TOhoe1WQUUDT8kPhhvv6uOSjCca3WcW7dT/W+Equstcjr32+359gnQH+eWKTGqOIQzviUA+RIG8dzSGufsliq9wppnT/G/nMaozpNBSXdl96/J2N5fLRrsCXBzDcJPlXFxP4yKk0rTlDy6RvSr6fncttYTC2Er7eSMTgSB0aF0kSEJAec3uzjHv5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2020-10-22T13:42:00Z</dcterms:created>
  <dc:creator>Hari Sundar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